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FB44" w14:textId="2AB124BA" w:rsidR="00701835" w:rsidRPr="00834DC5" w:rsidRDefault="006555D5">
      <w:pPr>
        <w:rPr>
          <w:sz w:val="24"/>
          <w:szCs w:val="24"/>
        </w:rPr>
      </w:pPr>
      <w:r w:rsidRPr="00834DC5">
        <w:rPr>
          <w:sz w:val="24"/>
          <w:szCs w:val="24"/>
        </w:rPr>
        <w:t>YLÖJÄRVEN KAUPUNGINVALTUUSTO</w:t>
      </w:r>
      <w:r w:rsidRPr="00834DC5">
        <w:rPr>
          <w:sz w:val="24"/>
          <w:szCs w:val="24"/>
        </w:rPr>
        <w:tab/>
      </w:r>
      <w:r w:rsidRPr="00834DC5">
        <w:rPr>
          <w:sz w:val="24"/>
          <w:szCs w:val="24"/>
        </w:rPr>
        <w:tab/>
      </w:r>
      <w:r w:rsidRPr="00834DC5">
        <w:rPr>
          <w:sz w:val="24"/>
          <w:szCs w:val="24"/>
        </w:rPr>
        <w:tab/>
        <w:t>VALTUUSTOALOITE</w:t>
      </w:r>
    </w:p>
    <w:p w14:paraId="70F62A40" w14:textId="2D7721C6" w:rsidR="00834DC5" w:rsidRPr="00834DC5" w:rsidRDefault="006555D5">
      <w:pPr>
        <w:rPr>
          <w:sz w:val="24"/>
          <w:szCs w:val="24"/>
        </w:rPr>
      </w:pPr>
      <w:r w:rsidRPr="00834DC5">
        <w:rPr>
          <w:sz w:val="24"/>
          <w:szCs w:val="24"/>
        </w:rPr>
        <w:t>KESKUSTAN VALTUUSTORYHMÄ</w:t>
      </w:r>
    </w:p>
    <w:p w14:paraId="6FA2298C" w14:textId="77777777" w:rsidR="00834DC5" w:rsidRPr="00834DC5" w:rsidRDefault="00834DC5">
      <w:pPr>
        <w:rPr>
          <w:sz w:val="24"/>
          <w:szCs w:val="24"/>
        </w:rPr>
      </w:pPr>
    </w:p>
    <w:p w14:paraId="74805751" w14:textId="77777777" w:rsidR="00834DC5" w:rsidRPr="00834DC5" w:rsidRDefault="00834DC5">
      <w:pPr>
        <w:rPr>
          <w:sz w:val="24"/>
          <w:szCs w:val="24"/>
        </w:rPr>
      </w:pPr>
    </w:p>
    <w:p w14:paraId="4E922E2A" w14:textId="77777777" w:rsidR="00834DC5" w:rsidRPr="00834DC5" w:rsidRDefault="00834DC5">
      <w:pPr>
        <w:rPr>
          <w:sz w:val="24"/>
          <w:szCs w:val="24"/>
        </w:rPr>
      </w:pPr>
    </w:p>
    <w:p w14:paraId="3A2A7E21" w14:textId="7CDC8BF1" w:rsidR="00834DC5" w:rsidRPr="00834DC5" w:rsidRDefault="00834DC5">
      <w:pPr>
        <w:rPr>
          <w:sz w:val="24"/>
          <w:szCs w:val="24"/>
        </w:rPr>
      </w:pPr>
      <w:r w:rsidRPr="00834DC5">
        <w:rPr>
          <w:sz w:val="24"/>
          <w:szCs w:val="24"/>
        </w:rPr>
        <w:t xml:space="preserve">JOUKKOLIIKENTEEN VAIHTOEHTOISTEN JÄRJESTÄMISTAPOJEN KUSTANNUSVERTAILU ENNEN </w:t>
      </w:r>
      <w:r w:rsidR="00743973">
        <w:rPr>
          <w:sz w:val="24"/>
          <w:szCs w:val="24"/>
        </w:rPr>
        <w:t xml:space="preserve">YLÖJÄRVEN </w:t>
      </w:r>
      <w:r w:rsidRPr="00834DC5">
        <w:rPr>
          <w:sz w:val="24"/>
          <w:szCs w:val="24"/>
        </w:rPr>
        <w:t>RA</w:t>
      </w:r>
      <w:r w:rsidR="00743973">
        <w:rPr>
          <w:sz w:val="24"/>
          <w:szCs w:val="24"/>
        </w:rPr>
        <w:t>ITIOTIEVERKOSTON</w:t>
      </w:r>
      <w:r w:rsidRPr="00834DC5">
        <w:rPr>
          <w:sz w:val="24"/>
          <w:szCs w:val="24"/>
        </w:rPr>
        <w:t xml:space="preserve"> RAKENTAMISPÄÄTÖSTÄ</w:t>
      </w:r>
    </w:p>
    <w:p w14:paraId="71CD0C6A" w14:textId="77777777" w:rsidR="00834DC5" w:rsidRPr="00834DC5" w:rsidRDefault="00834DC5">
      <w:pPr>
        <w:rPr>
          <w:sz w:val="24"/>
          <w:szCs w:val="24"/>
        </w:rPr>
      </w:pPr>
    </w:p>
    <w:p w14:paraId="6E402174" w14:textId="4F684FA2" w:rsidR="00834DC5" w:rsidRPr="00834DC5" w:rsidRDefault="00834DC5" w:rsidP="00834DC5">
      <w:pPr>
        <w:rPr>
          <w:sz w:val="24"/>
          <w:szCs w:val="24"/>
        </w:rPr>
      </w:pPr>
      <w:r w:rsidRPr="00834DC5">
        <w:rPr>
          <w:sz w:val="24"/>
          <w:szCs w:val="24"/>
        </w:rPr>
        <w:t>Vuoden 2023 huhtikuussa</w:t>
      </w:r>
      <w:r>
        <w:rPr>
          <w:sz w:val="24"/>
          <w:szCs w:val="24"/>
        </w:rPr>
        <w:t xml:space="preserve"> EU:n</w:t>
      </w:r>
      <w:r w:rsidRPr="00834DC5">
        <w:rPr>
          <w:sz w:val="24"/>
          <w:szCs w:val="24"/>
        </w:rPr>
        <w:t xml:space="preserve"> </w:t>
      </w:r>
      <w:r>
        <w:rPr>
          <w:sz w:val="24"/>
          <w:szCs w:val="24"/>
        </w:rPr>
        <w:t>Liikenne- ja matkailuvaliokunnan mietinnössä</w:t>
      </w:r>
      <w:r w:rsidRPr="00834DC5">
        <w:rPr>
          <w:sz w:val="24"/>
          <w:szCs w:val="24"/>
        </w:rPr>
        <w:t xml:space="preserve"> on määritelty suuntaviivat kaupunkiliikenteen eri vaihtoehtoje</w:t>
      </w:r>
      <w:r w:rsidR="00F33DF4">
        <w:rPr>
          <w:sz w:val="24"/>
          <w:szCs w:val="24"/>
        </w:rPr>
        <w:t>n kattavaan ja</w:t>
      </w:r>
      <w:r w:rsidRPr="00834DC5">
        <w:rPr>
          <w:sz w:val="24"/>
          <w:szCs w:val="24"/>
        </w:rPr>
        <w:t xml:space="preserve"> </w:t>
      </w:r>
      <w:r w:rsidR="00205916">
        <w:rPr>
          <w:sz w:val="24"/>
          <w:szCs w:val="24"/>
        </w:rPr>
        <w:t xml:space="preserve">monipuoliseen </w:t>
      </w:r>
      <w:r w:rsidRPr="00834DC5">
        <w:rPr>
          <w:sz w:val="24"/>
          <w:szCs w:val="24"/>
        </w:rPr>
        <w:t xml:space="preserve">vertailuun. </w:t>
      </w:r>
    </w:p>
    <w:p w14:paraId="2D50408D" w14:textId="2C48B3DD" w:rsidR="00834DC5" w:rsidRPr="00834DC5" w:rsidRDefault="00834DC5" w:rsidP="00834DC5">
      <w:pPr>
        <w:rPr>
          <w:sz w:val="24"/>
          <w:szCs w:val="24"/>
        </w:rPr>
      </w:pPr>
      <w:r w:rsidRPr="00834DC5">
        <w:rPr>
          <w:sz w:val="24"/>
          <w:szCs w:val="24"/>
        </w:rPr>
        <w:t>Keskustan ryhmä esittää aloitteessaan, että Ylöjärvellä tehdään vertailu vaihtoehtoisten joukkoliikenneratkaisuvaihtoehtojen välillä EU:n kaupunkiliikenteen kehyksen linjassa Nysse-alueella.</w:t>
      </w:r>
      <w:r w:rsidR="00C030C3">
        <w:rPr>
          <w:sz w:val="24"/>
          <w:szCs w:val="24"/>
        </w:rPr>
        <w:t xml:space="preserve"> Koska mietintö nostaa tarkasteluun </w:t>
      </w:r>
      <w:r w:rsidR="00205916">
        <w:rPr>
          <w:sz w:val="24"/>
          <w:szCs w:val="24"/>
        </w:rPr>
        <w:t>myös</w:t>
      </w:r>
      <w:r w:rsidR="00C030C3">
        <w:rPr>
          <w:sz w:val="24"/>
          <w:szCs w:val="24"/>
        </w:rPr>
        <w:t xml:space="preserve"> kohtuullisen hintatason, keskustan ryhmä edellyttää, että vaihtoehtoisista ratkaisuista tehdään ainakin kustannusvertailu perustamisen, rakentamisen, käytön ja käyttäjän näkökulmasta kymmenen vuoden aikajänteellä.</w:t>
      </w:r>
    </w:p>
    <w:p w14:paraId="7AC919CA" w14:textId="77777777" w:rsidR="00834DC5" w:rsidRPr="00834DC5" w:rsidRDefault="00834DC5" w:rsidP="00834DC5">
      <w:pPr>
        <w:rPr>
          <w:sz w:val="24"/>
          <w:szCs w:val="24"/>
        </w:rPr>
      </w:pPr>
      <w:r w:rsidRPr="00834DC5">
        <w:rPr>
          <w:sz w:val="24"/>
          <w:szCs w:val="24"/>
        </w:rPr>
        <w:t>Suora lainaus:</w:t>
      </w:r>
    </w:p>
    <w:p w14:paraId="0FEF5FE9" w14:textId="77777777" w:rsidR="00834DC5" w:rsidRPr="00834DC5" w:rsidRDefault="00834DC5" w:rsidP="00834DC5">
      <w:pPr>
        <w:rPr>
          <w:sz w:val="24"/>
          <w:szCs w:val="24"/>
        </w:rPr>
      </w:pPr>
      <w:r w:rsidRPr="00834DC5">
        <w:rPr>
          <w:b/>
          <w:bCs/>
          <w:i/>
          <w:iCs/>
          <w:sz w:val="24"/>
          <w:szCs w:val="24"/>
        </w:rPr>
        <w:t>Kaupunkiliikenteen kehyksen vahvistaminen: EU:n kaupunkien liikenneturvallisuutta, esteettömyyttä ja turvallisuutta koskeva uusi kehitys</w:t>
      </w:r>
    </w:p>
    <w:p w14:paraId="6D3F1521" w14:textId="77777777" w:rsidR="00834DC5" w:rsidRPr="00834DC5" w:rsidRDefault="00834DC5" w:rsidP="00834DC5">
      <w:pPr>
        <w:rPr>
          <w:sz w:val="24"/>
          <w:szCs w:val="24"/>
        </w:rPr>
      </w:pPr>
      <w:r w:rsidRPr="00834DC5">
        <w:rPr>
          <w:sz w:val="24"/>
          <w:szCs w:val="24"/>
        </w:rPr>
        <w:t>1. korostaa, että kaupunkiliikenne on ratkaiseva tekijä ihmisten elämänlaadun ja talouden toimivuuden kannalta; huomauttaa, että EU:n kaupunkiliikenteen on perustuttava älykkäisiin, osallistaviin, terveisiin, kohtuuhintaisiin, kilpailukykyisiin, kestäviin, saumattomiin ja multimodaalisiin liikenneratkaisuihin, mukaan lukien rautatiet, kestävä linja-autoliikenne, autojen yhteiskäyttöratkaisut sekä aktiivinen liikkuminen ja mikroliikenne, jotta voidaan saavuttaa EU:n kunnianhimoiset taloudelliset, ympäristöön liittyvät, digitaaliset, terveyteen liittyvät ja yhteiskunnalliset tavoitteet; korostaa, että näiden liikenneratkaisujen olisi parannettava mahdollisuuksia elää kaupungeissa ja ympäristöolosuhteita ja lisättävä tyytyväisyyttä;</w:t>
      </w:r>
    </w:p>
    <w:p w14:paraId="281A88A1" w14:textId="77777777" w:rsidR="00834DC5" w:rsidRPr="00834DC5" w:rsidRDefault="00834DC5" w:rsidP="00834DC5">
      <w:pPr>
        <w:rPr>
          <w:sz w:val="24"/>
          <w:szCs w:val="24"/>
        </w:rPr>
      </w:pPr>
      <w:r w:rsidRPr="00834DC5">
        <w:rPr>
          <w:sz w:val="24"/>
          <w:szCs w:val="24"/>
        </w:rPr>
        <w:t>2. muistuttaa, että kaikkien uusien toimenpiteiden olisi perustuttava kattavien vaikutustenarviointien tuloksiin, joissa otetaan huomioon taloudelliset, sosiaaliset ja ympäristöön liittyvät seuraukset sekä käyttäjien erilaiset liikkumistarpeet, kun taas erilaisten kaupunkiliikenneratkaisujen ympäristötehokkuuden arvioinnin olisi perustuttava elinkaaripäästöihin ja asiaankuuluviin ympäristöindikaattoreihin;</w:t>
      </w:r>
    </w:p>
    <w:p w14:paraId="1CF842DC" w14:textId="77777777" w:rsidR="00834DC5" w:rsidRPr="00834DC5" w:rsidRDefault="00834DC5" w:rsidP="00834DC5">
      <w:pPr>
        <w:rPr>
          <w:sz w:val="24"/>
          <w:szCs w:val="24"/>
        </w:rPr>
      </w:pPr>
      <w:r w:rsidRPr="00834DC5">
        <w:rPr>
          <w:sz w:val="24"/>
          <w:szCs w:val="24"/>
        </w:rPr>
        <w:t xml:space="preserve">3. korostaa, että kansalaiset ovat halukkaita siirtymään älykkäisiin ja kestäviin liikennemuotoihin erityisesti päivittäisessä liikkumisessa, ja että tärkeimmät edellytykset siirtymiselle ovat kustannukset, saatavuus ja nopeus; katsoo, että kansalaisten mukaantulo ja osallistuminen myös kestävän kaupunkiliikenteen suunnitelmien laatimiseen paikallisella, alueellisella, kansallisella ja EU:n tasolla on olennaisen tärkeää, jotta voidaan varmistaa tarvittava julkinen tuki saattamalla </w:t>
      </w:r>
      <w:r w:rsidRPr="00834DC5">
        <w:rPr>
          <w:sz w:val="24"/>
          <w:szCs w:val="24"/>
        </w:rPr>
        <w:lastRenderedPageBreak/>
        <w:t>kaikki sidosryhmät yhteen suunnittelemaan laadukasta palvelua, joka vastaa kaikkien tarpeita ja odotuksia;</w:t>
      </w:r>
    </w:p>
    <w:p w14:paraId="7B29B880" w14:textId="77777777" w:rsidR="00834DC5" w:rsidRPr="00834DC5" w:rsidRDefault="00834DC5" w:rsidP="00834DC5">
      <w:pPr>
        <w:rPr>
          <w:sz w:val="24"/>
          <w:szCs w:val="24"/>
        </w:rPr>
      </w:pPr>
      <w:r w:rsidRPr="00834DC5">
        <w:rPr>
          <w:sz w:val="24"/>
          <w:szCs w:val="24"/>
        </w:rPr>
        <w:t>4. kehottaa jäsenvaltioita kehittämään kaupunkiliikennejärjestelmiä, jotka ovat turvallisia, esteettömiä, osallistavia, kohtuuhintaisia, älykkäitä, häiriönsietokykyisiä ja kestäviä;</w:t>
      </w:r>
    </w:p>
    <w:p w14:paraId="0A980AC1" w14:textId="77777777" w:rsidR="00834DC5" w:rsidRPr="00834DC5" w:rsidRDefault="00834DC5" w:rsidP="00834DC5">
      <w:pPr>
        <w:rPr>
          <w:sz w:val="24"/>
          <w:szCs w:val="24"/>
        </w:rPr>
      </w:pPr>
      <w:r w:rsidRPr="00834DC5">
        <w:rPr>
          <w:sz w:val="24"/>
          <w:szCs w:val="24"/>
        </w:rPr>
        <w:t>5. tukee kaikkia toimia kaupunkien esteettömyyden parantamiseksi ja kehottaa jäsenvaltioita ryhtymään nopeisiin ja kunnianhimoisiin toimiin kaupunkien osallistavuuden lisäämiseksi;</w:t>
      </w:r>
    </w:p>
    <w:p w14:paraId="05E13228" w14:textId="77777777" w:rsidR="00834DC5" w:rsidRPr="00834DC5" w:rsidRDefault="00834DC5" w:rsidP="00834DC5">
      <w:pPr>
        <w:rPr>
          <w:sz w:val="24"/>
          <w:szCs w:val="24"/>
        </w:rPr>
      </w:pPr>
      <w:r w:rsidRPr="00834DC5">
        <w:rPr>
          <w:sz w:val="24"/>
          <w:szCs w:val="24"/>
        </w:rPr>
        <w:t>6. korostaa tarvetta puuttua liikenneköyhyyteen ja liikenneverkkoihin pääsyyn liittyviin eriarvoisuuksiin, koska ne vaikuttavat miljoonien pienituloisten ihmisten ja erityistarpeita omaaviin ryhmiin kuuluvien käyttäjien jokapäiväiseen elämään; katsoo, että kaupunkien ensisijaisena tavoitteena olisi oltava maaseutualueiden, kaupunkien lähialueiden ja kaupunkialueiden välisiin yhteyksiin liittyvien kysymysten käsitteleminen; kehottaa komissiota ja jäsenvaltioita puuttumaan epätasa-arvoon liikenneverkkoihin pääsyssä ja tukemaan pienempiä kaupunkeja ja kaupunkien lähialueita, jotta varmistetaan näiden alueiden yhteydet; korostaa, että tarvitaan multimodaalinen ja yhdennetty lähestymistapa, jolla torjutaan liikkuvuuteen liittyvää syrjäytymistä ja liikenneköyhyyttä ja varmistetaan tasavertainen pääsy kaupunkikeskuksiin;</w:t>
      </w:r>
    </w:p>
    <w:p w14:paraId="1A7AA6EC" w14:textId="5BD846E7" w:rsidR="00C030C3" w:rsidRDefault="00834DC5" w:rsidP="00834DC5">
      <w:pPr>
        <w:rPr>
          <w:sz w:val="24"/>
          <w:szCs w:val="24"/>
        </w:rPr>
      </w:pPr>
      <w:r w:rsidRPr="00834DC5">
        <w:rPr>
          <w:sz w:val="24"/>
          <w:szCs w:val="24"/>
        </w:rPr>
        <w:t>7. kehottaa jäsenvaltioita ja kaupunkeja harkitsemaan ”kestävän liikkuvuuden arvosetelien” tai alehintaisten liikkumisjärjestelmien tarjoamista osana kestävää joukkoliikennettä, erityisesti julkista liikennettä; toteaa, että edunsaajaryhmät, jotka on määritelty erityiskriteerien perusteella (esimerkiksi haavoittuvassa asemassa olevat tai liikenneköyhyydestä kärsivät käyttäjät), voivat sen jälkeen käyttää vapaasti arvoseteleitään kestävien liikkumisvalintojensa mukaisesti</w:t>
      </w:r>
      <w:r w:rsidR="00C030C3">
        <w:rPr>
          <w:sz w:val="24"/>
          <w:szCs w:val="24"/>
        </w:rPr>
        <w:t>.</w:t>
      </w:r>
    </w:p>
    <w:p w14:paraId="0AE245E4" w14:textId="77777777" w:rsidR="00205916" w:rsidRDefault="00205916" w:rsidP="00834DC5">
      <w:pPr>
        <w:rPr>
          <w:sz w:val="24"/>
          <w:szCs w:val="24"/>
        </w:rPr>
      </w:pPr>
    </w:p>
    <w:p w14:paraId="5329FB67" w14:textId="785D4DD9" w:rsidR="00C030C3" w:rsidRDefault="00C030C3" w:rsidP="00834DC5">
      <w:pPr>
        <w:rPr>
          <w:sz w:val="24"/>
          <w:szCs w:val="24"/>
        </w:rPr>
      </w:pPr>
      <w:r>
        <w:rPr>
          <w:sz w:val="24"/>
          <w:szCs w:val="24"/>
        </w:rPr>
        <w:t xml:space="preserve">Mietintö on luettavissa kokonaisuudessaan </w:t>
      </w:r>
      <w:hyperlink r:id="rId6" w:history="1">
        <w:r w:rsidRPr="00C030C3">
          <w:rPr>
            <w:rStyle w:val="Hyperlinkki"/>
            <w:sz w:val="24"/>
            <w:szCs w:val="24"/>
          </w:rPr>
          <w:t>Liikenne- ja matkailuvaliokunnan mietintö</w:t>
        </w:r>
      </w:hyperlink>
      <w:r>
        <w:rPr>
          <w:sz w:val="24"/>
          <w:szCs w:val="24"/>
        </w:rPr>
        <w:t xml:space="preserve"> -linkistä.</w:t>
      </w:r>
    </w:p>
    <w:p w14:paraId="05784052" w14:textId="77777777" w:rsidR="00205916" w:rsidRDefault="00205916" w:rsidP="00834DC5">
      <w:pPr>
        <w:rPr>
          <w:sz w:val="24"/>
          <w:szCs w:val="24"/>
        </w:rPr>
      </w:pPr>
    </w:p>
    <w:p w14:paraId="7A3DF890" w14:textId="7DA81CD3" w:rsidR="00205916" w:rsidRDefault="00205916" w:rsidP="00834DC5">
      <w:pPr>
        <w:rPr>
          <w:sz w:val="24"/>
          <w:szCs w:val="24"/>
        </w:rPr>
      </w:pPr>
      <w:r>
        <w:rPr>
          <w:sz w:val="24"/>
          <w:szCs w:val="24"/>
        </w:rPr>
        <w:t>Ylöjärvellä 12.6.23</w:t>
      </w:r>
    </w:p>
    <w:p w14:paraId="45A60CAE" w14:textId="77777777" w:rsidR="00205916" w:rsidRDefault="00205916" w:rsidP="00834DC5">
      <w:pPr>
        <w:rPr>
          <w:sz w:val="24"/>
          <w:szCs w:val="24"/>
        </w:rPr>
      </w:pPr>
    </w:p>
    <w:p w14:paraId="78A7F462" w14:textId="0578DFD0" w:rsidR="00205916" w:rsidRDefault="00205916" w:rsidP="00834DC5">
      <w:pPr>
        <w:rPr>
          <w:sz w:val="24"/>
          <w:szCs w:val="24"/>
        </w:rPr>
      </w:pPr>
      <w:r>
        <w:rPr>
          <w:sz w:val="24"/>
          <w:szCs w:val="24"/>
        </w:rPr>
        <w:t>Keskustan valtuustoryhmä</w:t>
      </w:r>
      <w:r w:rsidR="006555D5">
        <w:rPr>
          <w:sz w:val="24"/>
          <w:szCs w:val="24"/>
        </w:rPr>
        <w:t>, ym.</w:t>
      </w:r>
    </w:p>
    <w:p w14:paraId="64075A5D" w14:textId="7A59F03C" w:rsidR="00205916" w:rsidRDefault="00205916" w:rsidP="00834DC5">
      <w:pPr>
        <w:rPr>
          <w:sz w:val="24"/>
          <w:szCs w:val="24"/>
        </w:rPr>
      </w:pPr>
    </w:p>
    <w:p w14:paraId="3B71D46C" w14:textId="1190AF42" w:rsidR="00205916" w:rsidRDefault="00205916" w:rsidP="00834DC5">
      <w:pPr>
        <w:rPr>
          <w:sz w:val="24"/>
          <w:szCs w:val="24"/>
        </w:rPr>
      </w:pPr>
      <w:r>
        <w:rPr>
          <w:sz w:val="24"/>
          <w:szCs w:val="24"/>
        </w:rPr>
        <w:t>Minna Sarvijärvi</w:t>
      </w:r>
    </w:p>
    <w:p w14:paraId="7A24AED3" w14:textId="72658C5B" w:rsidR="00205916" w:rsidRDefault="00205916" w:rsidP="00834DC5">
      <w:pPr>
        <w:rPr>
          <w:sz w:val="24"/>
          <w:szCs w:val="24"/>
        </w:rPr>
      </w:pPr>
      <w:r>
        <w:rPr>
          <w:sz w:val="24"/>
          <w:szCs w:val="24"/>
        </w:rPr>
        <w:t>Riitta Koskinen</w:t>
      </w:r>
    </w:p>
    <w:p w14:paraId="25E1E0F4" w14:textId="68D31C8A" w:rsidR="00205916" w:rsidRDefault="00205916" w:rsidP="00834DC5">
      <w:pPr>
        <w:rPr>
          <w:sz w:val="24"/>
          <w:szCs w:val="24"/>
        </w:rPr>
      </w:pPr>
      <w:r>
        <w:rPr>
          <w:sz w:val="24"/>
          <w:szCs w:val="24"/>
        </w:rPr>
        <w:t>Pekko Sivonen</w:t>
      </w:r>
    </w:p>
    <w:p w14:paraId="0299F24C" w14:textId="1BB13236" w:rsidR="00205916" w:rsidRDefault="00205916" w:rsidP="00834DC5">
      <w:pPr>
        <w:rPr>
          <w:sz w:val="24"/>
          <w:szCs w:val="24"/>
        </w:rPr>
      </w:pPr>
      <w:r>
        <w:rPr>
          <w:sz w:val="24"/>
          <w:szCs w:val="24"/>
        </w:rPr>
        <w:t>Esa Toikkonen</w:t>
      </w:r>
    </w:p>
    <w:p w14:paraId="691D451C" w14:textId="376301AA" w:rsidR="00205916" w:rsidRPr="00834DC5" w:rsidRDefault="00205916" w:rsidP="00834DC5">
      <w:pPr>
        <w:rPr>
          <w:sz w:val="24"/>
          <w:szCs w:val="24"/>
        </w:rPr>
      </w:pPr>
      <w:r>
        <w:rPr>
          <w:sz w:val="24"/>
          <w:szCs w:val="24"/>
        </w:rPr>
        <w:t>Teuvo Hakanen</w:t>
      </w:r>
    </w:p>
    <w:p w14:paraId="6AF6215A" w14:textId="77777777" w:rsidR="00834DC5" w:rsidRDefault="00834DC5"/>
    <w:sectPr w:rsidR="00834DC5">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6554" w14:textId="77777777" w:rsidR="00834DC5" w:rsidRDefault="00834DC5" w:rsidP="00834DC5">
      <w:pPr>
        <w:spacing w:after="0" w:line="240" w:lineRule="auto"/>
      </w:pPr>
      <w:r>
        <w:separator/>
      </w:r>
    </w:p>
  </w:endnote>
  <w:endnote w:type="continuationSeparator" w:id="0">
    <w:p w14:paraId="3130E7AC" w14:textId="77777777" w:rsidR="00834DC5" w:rsidRDefault="00834DC5" w:rsidP="0083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ED0D" w14:textId="77777777" w:rsidR="00834DC5" w:rsidRDefault="00834DC5" w:rsidP="00834DC5">
      <w:pPr>
        <w:spacing w:after="0" w:line="240" w:lineRule="auto"/>
      </w:pPr>
      <w:r>
        <w:separator/>
      </w:r>
    </w:p>
  </w:footnote>
  <w:footnote w:type="continuationSeparator" w:id="0">
    <w:p w14:paraId="7BA7C6C4" w14:textId="77777777" w:rsidR="00834DC5" w:rsidRDefault="00834DC5" w:rsidP="00834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878766"/>
      <w:docPartObj>
        <w:docPartGallery w:val="Page Numbers (Top of Page)"/>
        <w:docPartUnique/>
      </w:docPartObj>
    </w:sdtPr>
    <w:sdtEndPr/>
    <w:sdtContent>
      <w:p w14:paraId="18782AEB" w14:textId="5CEE4405" w:rsidR="00834DC5" w:rsidRDefault="00834DC5">
        <w:pPr>
          <w:pStyle w:val="Yltunniste"/>
          <w:jc w:val="right"/>
        </w:pPr>
        <w:r>
          <w:fldChar w:fldCharType="begin"/>
        </w:r>
        <w:r>
          <w:instrText>PAGE   \* MERGEFORMAT</w:instrText>
        </w:r>
        <w:r>
          <w:fldChar w:fldCharType="separate"/>
        </w:r>
        <w:r>
          <w:t>2</w:t>
        </w:r>
        <w:r>
          <w:fldChar w:fldCharType="end"/>
        </w:r>
      </w:p>
    </w:sdtContent>
  </w:sdt>
  <w:p w14:paraId="0D02F16C" w14:textId="77777777" w:rsidR="00834DC5" w:rsidRDefault="00834DC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C5"/>
    <w:rsid w:val="00205916"/>
    <w:rsid w:val="006555D5"/>
    <w:rsid w:val="00701835"/>
    <w:rsid w:val="00743973"/>
    <w:rsid w:val="00834DC5"/>
    <w:rsid w:val="00C030C3"/>
    <w:rsid w:val="00F33D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285C"/>
  <w15:chartTrackingRefBased/>
  <w15:docId w15:val="{F7E090D4-6F40-4897-9A1F-C2B21A20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34DC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34DC5"/>
  </w:style>
  <w:style w:type="paragraph" w:styleId="Alatunniste">
    <w:name w:val="footer"/>
    <w:basedOn w:val="Normaali"/>
    <w:link w:val="AlatunnisteChar"/>
    <w:uiPriority w:val="99"/>
    <w:unhideWhenUsed/>
    <w:rsid w:val="00834DC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34DC5"/>
  </w:style>
  <w:style w:type="character" w:styleId="Hyperlinkki">
    <w:name w:val="Hyperlink"/>
    <w:basedOn w:val="Kappaleenoletusfontti"/>
    <w:uiPriority w:val="99"/>
    <w:unhideWhenUsed/>
    <w:rsid w:val="00C030C3"/>
    <w:rPr>
      <w:color w:val="0563C1" w:themeColor="hyperlink"/>
      <w:u w:val="single"/>
    </w:rPr>
  </w:style>
  <w:style w:type="character" w:styleId="Ratkaisematonmaininta">
    <w:name w:val="Unresolved Mention"/>
    <w:basedOn w:val="Kappaleenoletusfontti"/>
    <w:uiPriority w:val="99"/>
    <w:semiHidden/>
    <w:unhideWhenUsed/>
    <w:rsid w:val="00C0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736869">
      <w:bodyDiv w:val="1"/>
      <w:marLeft w:val="0"/>
      <w:marRight w:val="0"/>
      <w:marTop w:val="0"/>
      <w:marBottom w:val="0"/>
      <w:divBdr>
        <w:top w:val="none" w:sz="0" w:space="0" w:color="auto"/>
        <w:left w:val="none" w:sz="0" w:space="0" w:color="auto"/>
        <w:bottom w:val="none" w:sz="0" w:space="0" w:color="auto"/>
        <w:right w:val="none" w:sz="0" w:space="0" w:color="auto"/>
      </w:divBdr>
      <w:divsChild>
        <w:div w:id="600256407">
          <w:marLeft w:val="0"/>
          <w:marRight w:val="0"/>
          <w:marTop w:val="0"/>
          <w:marBottom w:val="0"/>
          <w:divBdr>
            <w:top w:val="none" w:sz="0" w:space="0" w:color="auto"/>
            <w:left w:val="none" w:sz="0" w:space="0" w:color="auto"/>
            <w:bottom w:val="none" w:sz="0" w:space="0" w:color="auto"/>
            <w:right w:val="none" w:sz="0" w:space="0" w:color="auto"/>
          </w:divBdr>
        </w:div>
        <w:div w:id="1067069477">
          <w:marLeft w:val="0"/>
          <w:marRight w:val="0"/>
          <w:marTop w:val="0"/>
          <w:marBottom w:val="0"/>
          <w:divBdr>
            <w:top w:val="none" w:sz="0" w:space="0" w:color="auto"/>
            <w:left w:val="none" w:sz="0" w:space="0" w:color="auto"/>
            <w:bottom w:val="none" w:sz="0" w:space="0" w:color="auto"/>
            <w:right w:val="none" w:sz="0" w:space="0" w:color="auto"/>
          </w:divBdr>
        </w:div>
        <w:div w:id="27341616">
          <w:marLeft w:val="0"/>
          <w:marRight w:val="0"/>
          <w:marTop w:val="0"/>
          <w:marBottom w:val="0"/>
          <w:divBdr>
            <w:top w:val="none" w:sz="0" w:space="0" w:color="auto"/>
            <w:left w:val="none" w:sz="0" w:space="0" w:color="auto"/>
            <w:bottom w:val="none" w:sz="0" w:space="0" w:color="auto"/>
            <w:right w:val="none" w:sz="0" w:space="0" w:color="auto"/>
          </w:divBdr>
        </w:div>
        <w:div w:id="1049916113">
          <w:marLeft w:val="0"/>
          <w:marRight w:val="0"/>
          <w:marTop w:val="0"/>
          <w:marBottom w:val="0"/>
          <w:divBdr>
            <w:top w:val="none" w:sz="0" w:space="0" w:color="auto"/>
            <w:left w:val="none" w:sz="0" w:space="0" w:color="auto"/>
            <w:bottom w:val="none" w:sz="0" w:space="0" w:color="auto"/>
            <w:right w:val="none" w:sz="0" w:space="0" w:color="auto"/>
          </w:divBdr>
        </w:div>
        <w:div w:id="180735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ikenne-%20ja%20matkailuvaliokunnan%20mietint&#2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513</Words>
  <Characters>4159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Sarvijärvi Minna</dc:creator>
  <cp:keywords/>
  <dc:description/>
  <cp:lastModifiedBy>Sarvijärvi Minna</cp:lastModifiedBy>
  <cp:revision>6</cp:revision>
  <cp:lastPrinted>2023-06-12T11:35:00Z</cp:lastPrinted>
  <dcterms:created xsi:type="dcterms:W3CDTF">2023-06-12T11:11:00Z</dcterms:created>
  <dcterms:modified xsi:type="dcterms:W3CDTF">2023-06-12T12:09:00Z</dcterms:modified>
</cp:coreProperties>
</file>